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C3" w:rsidRDefault="004C57C3" w:rsidP="004C57C3">
      <w:pPr>
        <w:autoSpaceDE w:val="0"/>
        <w:autoSpaceDN w:val="0"/>
        <w:adjustRightInd w:val="0"/>
        <w:spacing w:after="0" w:line="240" w:lineRule="auto"/>
        <w:jc w:val="both"/>
        <w:rPr>
          <w:rFonts w:ascii="TimesNewRomanPSMT" w:hAnsi="TimesNewRomanPSMT" w:cs="TimesNewRomanPSMT"/>
          <w:b/>
          <w:sz w:val="27"/>
          <w:szCs w:val="27"/>
        </w:rPr>
      </w:pPr>
      <w:r>
        <w:rPr>
          <w:rFonts w:ascii="TimesNewRomanPSMT" w:hAnsi="TimesNewRomanPSMT" w:cs="TimesNewRomanPSMT"/>
          <w:b/>
          <w:sz w:val="27"/>
          <w:szCs w:val="27"/>
        </w:rPr>
        <w:t>Quyết định số 09/2014/QĐ-UBND ngày 20/02/2014 của UBND TP về ban hành quy định về thi công xây dựng thiết yếu trong phạm vi bảo vệ kết cấu hạ tầng giao thông đường bộ trên địa bàn Tp HCM</w:t>
      </w:r>
    </w:p>
    <w:p w:rsidR="004C57C3" w:rsidRPr="004C57C3" w:rsidRDefault="004C57C3" w:rsidP="004C57C3">
      <w:pPr>
        <w:autoSpaceDE w:val="0"/>
        <w:autoSpaceDN w:val="0"/>
        <w:adjustRightInd w:val="0"/>
        <w:spacing w:after="0" w:line="240" w:lineRule="auto"/>
        <w:jc w:val="both"/>
        <w:rPr>
          <w:rFonts w:ascii="TimesNewRomanPSMT" w:hAnsi="TimesNewRomanPSMT" w:cs="TimesNewRomanPSMT"/>
          <w:b/>
          <w:sz w:val="27"/>
          <w:szCs w:val="27"/>
        </w:rPr>
      </w:pPr>
      <w:r w:rsidRPr="004C57C3">
        <w:rPr>
          <w:rFonts w:ascii="TimesNewRomanPSMT" w:hAnsi="TimesNewRomanPSMT" w:cs="TimesNewRomanPSMT"/>
          <w:b/>
          <w:sz w:val="27"/>
          <w:szCs w:val="27"/>
        </w:rPr>
        <w:t>Bước 1:</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Chủ đầu tư điền đơn xin đấu nối gửi UBND phường để xác nhận.</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 xml:space="preserve">Liên hệ đơn vị tư vấn có chức năng để tiến hành lập hồ sơ. </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 xml:space="preserve">Bước 2: </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Đơn vị tư vấn lập hồ sơ và trình cơ quan chức năng phê duyệt – Thời gian 4 ngày làm việc.</w:t>
      </w:r>
    </w:p>
    <w:p w:rsidR="004C57C3" w:rsidRPr="004C57C3" w:rsidRDefault="004C57C3" w:rsidP="004C57C3">
      <w:pPr>
        <w:autoSpaceDE w:val="0"/>
        <w:autoSpaceDN w:val="0"/>
        <w:adjustRightInd w:val="0"/>
        <w:spacing w:after="0" w:line="240" w:lineRule="auto"/>
        <w:jc w:val="both"/>
        <w:rPr>
          <w:rFonts w:ascii="TimesNewRomanPSMT" w:hAnsi="TimesNewRomanPSMT" w:cs="TimesNewRomanPSMT"/>
          <w:b/>
          <w:sz w:val="27"/>
          <w:szCs w:val="27"/>
        </w:rPr>
      </w:pPr>
      <w:r w:rsidRPr="004C57C3">
        <w:rPr>
          <w:rFonts w:ascii="TimesNewRomanPSMT" w:hAnsi="TimesNewRomanPSMT" w:cs="TimesNewRomanPSMT"/>
          <w:b/>
          <w:sz w:val="27"/>
          <w:szCs w:val="27"/>
        </w:rPr>
        <w:t xml:space="preserve">Bước </w:t>
      </w:r>
      <w:r>
        <w:rPr>
          <w:rFonts w:ascii="TimesNewRomanPSMT" w:hAnsi="TimesNewRomanPSMT" w:cs="TimesNewRomanPSMT"/>
          <w:b/>
          <w:sz w:val="27"/>
          <w:szCs w:val="27"/>
        </w:rPr>
        <w:t>3</w:t>
      </w:r>
      <w:r w:rsidRPr="004C57C3">
        <w:rPr>
          <w:rFonts w:ascii="TimesNewRomanPSMT" w:hAnsi="TimesNewRomanPSMT" w:cs="TimesNewRomanPSMT"/>
          <w:b/>
          <w:sz w:val="27"/>
          <w:szCs w:val="27"/>
        </w:rPr>
        <w:t>: Lập thủ tục thỏa thuận hướng tuyến</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Trình tự, thủ tục và hồ sơ đề nghị chấp thuận xây dựng công trình thiết yếu trong</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phạm vi bảo vệ kết cấu hạ tầng giao thông đường bộ quy định cụ thể như sau:</w:t>
      </w:r>
    </w:p>
    <w:p w:rsidR="004155BA" w:rsidRP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1.</w:t>
      </w:r>
      <w:r w:rsidRPr="004C57C3">
        <w:rPr>
          <w:rFonts w:ascii="TimesNewRomanPSMT" w:hAnsi="TimesNewRomanPSMT" w:cs="TimesNewRomanPSMT"/>
          <w:sz w:val="27"/>
          <w:szCs w:val="27"/>
        </w:rPr>
        <w:t>Hồ sơ đề nghị chấp thuận xây dựng công trình:</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a) Thành phần hồ sơ bao gồm:</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 Đơn đề nghị (bản chính) theo mẫu tại Phụ lục 1 kèm theo Quy định này.</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 Hồ sơ thiết kế, trong đó có bình đồ, trắc dọc, trắc ngang vị trí đoạn tuyến có</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xây dựng công trình (bản chính). Nếu hồ sơ thiết kế là hồ sơ thiết kế kỹ thuật hoặc</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thiết kế bản vẽ thi công, đối với công trình xây lắp qua cầu, hầm hoặc các công trình</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đường bộ phức tạp khác, phải có Báo cáo kết quả thẩm tra thiết kế (bản sao có xác</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nhận của chủ công trình). Các bản vẽ phải thể hiện đầy đủ vị trí các công trình ngầm</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hiện hữu năm trong khu vực xây dựng công trình và khu vực ảnh hưởng bởi việc xây</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dựng công trình.</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 Cam kết di chuyển hoặc cải tạo công trình đúng tiến độ theo yêu cầu của cơ</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quan quản lý đường bộ có thẩm quyền; không được yêu cầu bồi thường và phải chịu</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trách nhiệm chi trả toàn bộ chi phí có liên quan.</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b) Số lượng hồ sơ: 01 bộ.</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2. Thời hạn giải quyết trong 10 ngày làm việc, kể từ khi nhận đủ hồ sơ theo quy</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định.</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3. Văn bản chấp thuận xây dựng công trình có giá trị trong thời gian 18 tháng</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đối với các tuyến Quốc lộ và 12 tháng đối với các tuyến đường khác kể từ ngày ban</w:t>
      </w:r>
    </w:p>
    <w:p w:rsidR="004C57C3" w:rsidRDefault="004C57C3" w:rsidP="004C57C3">
      <w:pPr>
        <w:spacing w:after="0" w:line="240" w:lineRule="auto"/>
        <w:jc w:val="both"/>
        <w:rPr>
          <w:rFonts w:ascii="TimesNewRomanPSMT" w:hAnsi="TimesNewRomanPSMT" w:cs="TimesNewRomanPSMT"/>
          <w:sz w:val="27"/>
          <w:szCs w:val="27"/>
        </w:rPr>
      </w:pPr>
      <w:r w:rsidRPr="004C57C3">
        <w:rPr>
          <w:rFonts w:ascii="TimesNewRomanPSMT" w:hAnsi="TimesNewRomanPSMT" w:cs="TimesNewRomanPSMT"/>
          <w:sz w:val="27"/>
          <w:szCs w:val="27"/>
        </w:rPr>
        <w:t>hành; nếu quá thời hạn, phải làm thủ tục gia hạn.</w:t>
      </w:r>
    </w:p>
    <w:p w:rsidR="004C57C3" w:rsidRDefault="004C57C3" w:rsidP="004C57C3">
      <w:pPr>
        <w:spacing w:after="0" w:line="240" w:lineRule="auto"/>
        <w:jc w:val="both"/>
        <w:rPr>
          <w:rFonts w:ascii="TimesNewRomanPSMT" w:hAnsi="TimesNewRomanPSMT" w:cs="TimesNewRomanPSMT"/>
          <w:b/>
          <w:sz w:val="27"/>
          <w:szCs w:val="27"/>
        </w:rPr>
      </w:pPr>
      <w:r w:rsidRPr="004C57C3">
        <w:rPr>
          <w:rFonts w:ascii="TimesNewRomanPSMT" w:hAnsi="TimesNewRomanPSMT" w:cs="TimesNewRomanPSMT"/>
          <w:b/>
          <w:sz w:val="27"/>
          <w:szCs w:val="27"/>
        </w:rPr>
        <w:t>Bước 4: Xin giấy phép thi công</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Sau khi có văn bản chấp thuận xây dựng công trình của cơ quan quản lý đường bộ có thẩm quyền, chủ đầu tư công trình phải:</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1) Hoàn chỉnh hồ sơ thiết kế theo văn bản chấp thuận của cơ quan quản lý đường</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bộ có thẩm quyền.</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2) Tổ chức thẩm định và phê duyệt dự án, hồ sơ thiết kế công trình theo quy định</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về quản lý đầu tư và xây dựng công trình.</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3) Gửi hồ sơ theo danh mục sau:</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a) Thành phần hồ sơ bao gồm:</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 Đơn đề nghị cấp giấy phép thi công công trình (bản chính) theo mẫu;</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lastRenderedPageBreak/>
        <w:t>- Văn bản chấp thuận xây dựng công trình của cơ quan quản lý đường bộ có</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thẩm quyền (bản sao có xác nhận của Chủ đầu tư);</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 Hồ sơ thiết kế bản vẽ thi công, trong đó có biện pháp tổ chức thi công bảo đảm</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an toàn giao thông) đã được cấp có thẩm quyền phê duyệt (bản chính).</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b) Số lượng bộ hồ sơ: 01 bộ.</w:t>
      </w:r>
    </w:p>
    <w:p w:rsidR="004C57C3" w:rsidRDefault="004C57C3" w:rsidP="004C57C3">
      <w:pPr>
        <w:autoSpaceDE w:val="0"/>
        <w:autoSpaceDN w:val="0"/>
        <w:adjustRightInd w:val="0"/>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4. Thời hạn giải quyết: trong 10 ngày làm việc, kể từ ngày nhận đủ hồ sơ theo</w:t>
      </w:r>
    </w:p>
    <w:p w:rsidR="004C57C3" w:rsidRDefault="004C57C3" w:rsidP="004C57C3">
      <w:pPr>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quy định.</w:t>
      </w:r>
    </w:p>
    <w:p w:rsidR="004C57C3" w:rsidRDefault="004C57C3" w:rsidP="004C57C3">
      <w:pPr>
        <w:spacing w:after="0" w:line="240" w:lineRule="auto"/>
        <w:jc w:val="both"/>
        <w:rPr>
          <w:rFonts w:ascii="TimesNewRomanPSMT" w:hAnsi="TimesNewRomanPSMT" w:cs="TimesNewRomanPSMT"/>
          <w:sz w:val="27"/>
          <w:szCs w:val="27"/>
        </w:rPr>
      </w:pPr>
      <w:r>
        <w:rPr>
          <w:rFonts w:ascii="TimesNewRomanPSMT" w:hAnsi="TimesNewRomanPSMT" w:cs="TimesNewRomanPSMT"/>
          <w:sz w:val="27"/>
          <w:szCs w:val="27"/>
        </w:rPr>
        <w:t>Bước 5: Chủ đầu tư nộp tiền ký quỹ công trình = max (10% * giá trị công trình; 1.000.000 đồng) tại các tài khoản do cơ quan chức năng thông tin.</w:t>
      </w:r>
    </w:p>
    <w:p w:rsidR="004C57C3" w:rsidRPr="004C57C3" w:rsidRDefault="004C57C3" w:rsidP="004C57C3">
      <w:pPr>
        <w:spacing w:after="0" w:line="240" w:lineRule="auto"/>
        <w:jc w:val="both"/>
        <w:rPr>
          <w:rFonts w:ascii="TimesNewRomanPSMT" w:hAnsi="TimesNewRomanPSMT" w:cs="TimesNewRomanPSMT"/>
          <w:b/>
          <w:sz w:val="27"/>
          <w:szCs w:val="27"/>
        </w:rPr>
      </w:pPr>
      <w:r>
        <w:rPr>
          <w:rFonts w:ascii="TimesNewRomanPSMT" w:hAnsi="TimesNewRomanPSMT" w:cs="TimesNewRomanPSMT"/>
          <w:sz w:val="27"/>
          <w:szCs w:val="27"/>
        </w:rPr>
        <w:t>Bước 6: Đơn vị tư vấn nhận giấy nộp tiền và liên hệ bộ phận tiếp nhận hồ sơ để nhận kết quả và bàn giao cho chủ đầu tư.</w:t>
      </w:r>
    </w:p>
    <w:sectPr w:rsidR="004C57C3" w:rsidRPr="004C57C3" w:rsidSect="003548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20000003" w:usb1="00000000" w:usb2="00000000" w:usb3="00000000" w:csb0="000001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277C"/>
    <w:multiLevelType w:val="hybridMultilevel"/>
    <w:tmpl w:val="37680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A847F9"/>
    <w:multiLevelType w:val="hybridMultilevel"/>
    <w:tmpl w:val="37680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C57C3"/>
    <w:rsid w:val="0035488F"/>
    <w:rsid w:val="004C57C3"/>
    <w:rsid w:val="00B82134"/>
    <w:rsid w:val="00CD4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7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NGOCLAN</dc:creator>
  <cp:lastModifiedBy>NGOCLAN</cp:lastModifiedBy>
  <cp:revision>1</cp:revision>
  <cp:lastPrinted>2015-01-06T07:27:00Z</cp:lastPrinted>
  <dcterms:created xsi:type="dcterms:W3CDTF">2015-01-06T07:17:00Z</dcterms:created>
  <dcterms:modified xsi:type="dcterms:W3CDTF">2015-01-06T07:30:00Z</dcterms:modified>
</cp:coreProperties>
</file>